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ABE4" w14:textId="77777777" w:rsidR="004B51B7" w:rsidRDefault="004B51B7" w:rsidP="008065A2">
      <w:pPr>
        <w:rPr>
          <w:rFonts w:ascii="Arial" w:hAnsi="Arial" w:cs="Arial"/>
          <w:bCs/>
          <w:sz w:val="24"/>
          <w:szCs w:val="24"/>
        </w:rPr>
      </w:pPr>
    </w:p>
    <w:p w14:paraId="71F21B92" w14:textId="136F9A47" w:rsidR="008065A2" w:rsidRPr="00105C04" w:rsidRDefault="000227BE" w:rsidP="008065A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>Australian Fund Monitors Pty Ltd</w:t>
      </w:r>
      <w:r w:rsidR="00BB1927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2A0560" w14:paraId="418A6FDC" w14:textId="77777777" w:rsidTr="002A0560">
        <w:tc>
          <w:tcPr>
            <w:tcW w:w="1696" w:type="dxa"/>
          </w:tcPr>
          <w:p w14:paraId="7018B6C2" w14:textId="77777777" w:rsidR="002A0560" w:rsidRDefault="002A0560" w:rsidP="002A05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5A5">
              <w:rPr>
                <w:rFonts w:ascii="Arial" w:hAnsi="Arial" w:cs="Arial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7654" w:type="dxa"/>
          </w:tcPr>
          <w:p w14:paraId="7F282117" w14:textId="3EB0339B" w:rsidR="002A0560" w:rsidRPr="002A0560" w:rsidRDefault="008E08FE" w:rsidP="008065A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Chris Gosselin</w:t>
            </w:r>
            <w:r w:rsidR="009A31B3">
              <w:rPr>
                <w:rFonts w:ascii="Arial" w:hAnsi="Arial" w:cs="Arial"/>
                <w:bCs/>
                <w:sz w:val="24"/>
                <w:szCs w:val="24"/>
              </w:rPr>
              <w:t>, Director &amp; CEO</w:t>
            </w:r>
          </w:p>
        </w:tc>
      </w:tr>
    </w:tbl>
    <w:p w14:paraId="76F2122D" w14:textId="77777777" w:rsidR="002A0560" w:rsidRPr="002A0560" w:rsidRDefault="002A0560" w:rsidP="008065A2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2A0560" w14:paraId="147158DE" w14:textId="77777777" w:rsidTr="002A0560">
        <w:tc>
          <w:tcPr>
            <w:tcW w:w="1696" w:type="dxa"/>
          </w:tcPr>
          <w:p w14:paraId="3FB03E96" w14:textId="77777777" w:rsidR="002A0560" w:rsidRDefault="002A0560" w:rsidP="008065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Phone:</w:t>
            </w:r>
            <w:r w:rsidRPr="00A95D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675DCC3E" w14:textId="2A630934" w:rsidR="002A0560" w:rsidRPr="002A0560" w:rsidRDefault="008E08FE" w:rsidP="008065A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02 8022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8494</w:t>
            </w:r>
            <w:r w:rsidR="009A31B3">
              <w:rPr>
                <w:rFonts w:ascii="Arial" w:hAnsi="Arial" w:cs="Arial"/>
                <w:bCs/>
                <w:sz w:val="24"/>
                <w:szCs w:val="24"/>
              </w:rPr>
              <w:t xml:space="preserve">  Mobile</w:t>
            </w:r>
            <w:proofErr w:type="gramEnd"/>
            <w:r w:rsidR="009A31B3">
              <w:rPr>
                <w:rFonts w:ascii="Arial" w:hAnsi="Arial" w:cs="Arial"/>
                <w:bCs/>
                <w:sz w:val="24"/>
                <w:szCs w:val="24"/>
              </w:rPr>
              <w:t>: 0411 537 830</w:t>
            </w:r>
          </w:p>
        </w:tc>
      </w:tr>
    </w:tbl>
    <w:p w14:paraId="5B6AF72B" w14:textId="77777777" w:rsidR="008065A2" w:rsidRPr="006A25A5" w:rsidRDefault="008065A2" w:rsidP="008065A2">
      <w:pPr>
        <w:rPr>
          <w:rFonts w:ascii="Arial" w:hAnsi="Arial" w:cs="Arial"/>
          <w:b/>
          <w:bCs/>
          <w:sz w:val="24"/>
          <w:szCs w:val="24"/>
        </w:rPr>
      </w:pPr>
      <w:r w:rsidRPr="006A25A5">
        <w:rPr>
          <w:rFonts w:ascii="Arial" w:hAnsi="Arial" w:cs="Arial"/>
          <w:b/>
          <w:bCs/>
          <w:sz w:val="24"/>
          <w:szCs w:val="24"/>
        </w:rPr>
        <w:tab/>
      </w:r>
    </w:p>
    <w:p w14:paraId="31990124" w14:textId="77777777" w:rsidR="006A25A5" w:rsidRPr="0035599C" w:rsidRDefault="005B7B76" w:rsidP="0035599C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6A25A5">
        <w:rPr>
          <w:rFonts w:ascii="Arial" w:hAnsi="Arial" w:cs="Arial"/>
          <w:b/>
          <w:bCs/>
          <w:sz w:val="24"/>
          <w:szCs w:val="24"/>
        </w:rPr>
        <w:t xml:space="preserve">BFP </w:t>
      </w:r>
      <w:r w:rsidR="000D06DD" w:rsidRPr="006A25A5">
        <w:rPr>
          <w:rFonts w:ascii="Arial" w:hAnsi="Arial" w:cs="Arial"/>
          <w:b/>
          <w:bCs/>
          <w:sz w:val="24"/>
          <w:szCs w:val="24"/>
        </w:rPr>
        <w:t>Member Benefit</w:t>
      </w:r>
      <w:r w:rsidR="003D57A5" w:rsidRPr="006A25A5">
        <w:rPr>
          <w:rFonts w:ascii="Arial" w:hAnsi="Arial" w:cs="Arial"/>
          <w:b/>
          <w:bCs/>
          <w:sz w:val="24"/>
          <w:szCs w:val="24"/>
        </w:rPr>
        <w:t xml:space="preserve"> </w:t>
      </w:r>
      <w:r w:rsidR="006D49A4" w:rsidRPr="006A25A5">
        <w:rPr>
          <w:rFonts w:ascii="Arial" w:hAnsi="Arial" w:cs="Arial"/>
          <w:b/>
          <w:bCs/>
          <w:sz w:val="24"/>
          <w:szCs w:val="24"/>
        </w:rPr>
        <w:t xml:space="preserve">&amp; </w:t>
      </w:r>
      <w:r w:rsidR="00296DE8" w:rsidRPr="006A25A5">
        <w:rPr>
          <w:rFonts w:ascii="Arial" w:hAnsi="Arial" w:cs="Arial"/>
          <w:b/>
          <w:bCs/>
          <w:sz w:val="24"/>
          <w:szCs w:val="24"/>
        </w:rPr>
        <w:t>Special Pricing Arrangement</w:t>
      </w:r>
    </w:p>
    <w:p w14:paraId="55CD97B8" w14:textId="77777777" w:rsidR="003B7E3A" w:rsidRPr="00075142" w:rsidRDefault="003B7E3A" w:rsidP="00AF081B">
      <w:pPr>
        <w:spacing w:line="120" w:lineRule="auto"/>
        <w:rPr>
          <w:rFonts w:ascii="Arial" w:hAnsi="Arial" w:cs="Arial"/>
          <w:b/>
          <w:bCs/>
          <w:color w:val="C00000"/>
          <w:szCs w:val="20"/>
        </w:rPr>
      </w:pPr>
    </w:p>
    <w:p w14:paraId="4B425F49" w14:textId="77777777" w:rsidR="00B74A2F" w:rsidRPr="00433080" w:rsidRDefault="006A25A5" w:rsidP="00B74A2F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>Business Name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5600B" w14:paraId="730053D5" w14:textId="77777777" w:rsidTr="00D5600B">
        <w:tc>
          <w:tcPr>
            <w:tcW w:w="9350" w:type="dxa"/>
          </w:tcPr>
          <w:p w14:paraId="4C4E4D82" w14:textId="77777777" w:rsidR="00D5600B" w:rsidRPr="00D5600B" w:rsidRDefault="00D5600B" w:rsidP="00CC3B7D">
            <w:pPr>
              <w:pStyle w:val="NoSpacing"/>
            </w:pPr>
          </w:p>
        </w:tc>
      </w:tr>
    </w:tbl>
    <w:p w14:paraId="6E9D09E3" w14:textId="66873E7E" w:rsidR="00D5600B" w:rsidRPr="008E08FE" w:rsidRDefault="008E08FE" w:rsidP="00B74A2F">
      <w:pPr>
        <w:rPr>
          <w:rFonts w:ascii="Arial" w:hAnsi="Arial" w:cs="Arial"/>
          <w:b/>
          <w:sz w:val="22"/>
        </w:rPr>
      </w:pPr>
      <w:r w:rsidRPr="008E08FE">
        <w:rPr>
          <w:rFonts w:ascii="Arial" w:hAnsi="Arial" w:cs="Arial"/>
          <w:b/>
          <w:sz w:val="22"/>
        </w:rPr>
        <w:t>FundMonitors.com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3"/>
        <w:gridCol w:w="6857"/>
      </w:tblGrid>
      <w:tr w:rsidR="00CC3B7D" w:rsidRPr="00CC3B7D" w14:paraId="7246F2BF" w14:textId="77777777" w:rsidTr="00CC3B7D">
        <w:tc>
          <w:tcPr>
            <w:tcW w:w="1129" w:type="dxa"/>
          </w:tcPr>
          <w:p w14:paraId="19913EE1" w14:textId="664A0F4A" w:rsidR="00CC3B7D" w:rsidRPr="00CC3B7D" w:rsidRDefault="00CC3B7D" w:rsidP="00B74A2F">
            <w:pPr>
              <w:rPr>
                <w:rFonts w:ascii="Arial" w:hAnsi="Arial" w:cs="Arial"/>
                <w:bCs/>
                <w:sz w:val="22"/>
              </w:rPr>
            </w:pPr>
            <w:r w:rsidRPr="00CC3B7D">
              <w:rPr>
                <w:rFonts w:ascii="Arial" w:hAnsi="Arial" w:cs="Arial"/>
                <w:bCs/>
                <w:sz w:val="22"/>
              </w:rPr>
              <w:t>Website</w:t>
            </w:r>
            <w:r w:rsidR="008E08FE">
              <w:rPr>
                <w:rFonts w:ascii="Arial" w:hAnsi="Arial" w:cs="Arial"/>
                <w:bCs/>
                <w:sz w:val="22"/>
              </w:rPr>
              <w:t xml:space="preserve">: </w:t>
            </w:r>
            <w:hyperlink r:id="rId11" w:history="1">
              <w:r w:rsidR="008E08FE" w:rsidRPr="008E08FE">
                <w:rPr>
                  <w:rStyle w:val="Hyperlink"/>
                  <w:rFonts w:ascii="Arial" w:hAnsi="Arial" w:cs="Arial"/>
                  <w:bCs/>
                  <w:sz w:val="22"/>
                </w:rPr>
                <w:t>www.fundmonitors.com</w:t>
              </w:r>
            </w:hyperlink>
          </w:p>
        </w:tc>
        <w:tc>
          <w:tcPr>
            <w:tcW w:w="8221" w:type="dxa"/>
          </w:tcPr>
          <w:p w14:paraId="7426097D" w14:textId="77777777" w:rsidR="00CC3B7D" w:rsidRPr="00CC3B7D" w:rsidRDefault="00CC3B7D" w:rsidP="00B74A2F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2B92289C" w14:textId="77777777" w:rsidR="00075142" w:rsidRDefault="00075142" w:rsidP="00296DE8">
      <w:pPr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504E2B30" w14:textId="3B32EBF0" w:rsidR="00296DE8" w:rsidRPr="00433080" w:rsidRDefault="0035599C" w:rsidP="00296DE8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>Synopsis of Business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3B7D" w:rsidRPr="00CC3B7D" w14:paraId="424E60E8" w14:textId="77777777" w:rsidTr="00CC3B7D">
        <w:tc>
          <w:tcPr>
            <w:tcW w:w="9350" w:type="dxa"/>
          </w:tcPr>
          <w:p w14:paraId="2306A8CA" w14:textId="1374F8FE" w:rsidR="00CC3B7D" w:rsidRDefault="00000000" w:rsidP="00296DE8">
            <w:pPr>
              <w:rPr>
                <w:rFonts w:ascii="Arial" w:hAnsi="Arial" w:cs="Arial"/>
                <w:bCs/>
                <w:sz w:val="22"/>
              </w:rPr>
            </w:pPr>
            <w:hyperlink r:id="rId12" w:history="1">
              <w:r w:rsidR="00280482" w:rsidRPr="00280482">
                <w:rPr>
                  <w:rStyle w:val="Hyperlink"/>
                  <w:rFonts w:ascii="Arial" w:hAnsi="Arial" w:cs="Arial"/>
                  <w:bCs/>
                  <w:sz w:val="22"/>
                </w:rPr>
                <w:t>www.</w:t>
              </w:r>
              <w:r w:rsidR="000C6519" w:rsidRPr="00280482">
                <w:rPr>
                  <w:rStyle w:val="Hyperlink"/>
                  <w:rFonts w:ascii="Arial" w:hAnsi="Arial" w:cs="Arial"/>
                  <w:bCs/>
                  <w:sz w:val="22"/>
                </w:rPr>
                <w:t>FundMonitors.com</w:t>
              </w:r>
            </w:hyperlink>
            <w:r w:rsidR="000C6519">
              <w:rPr>
                <w:rFonts w:ascii="Arial" w:hAnsi="Arial" w:cs="Arial"/>
                <w:bCs/>
                <w:sz w:val="22"/>
              </w:rPr>
              <w:t xml:space="preserve"> was established in 2006 to provide HNW investors and Independent Financial Advisors an online source of independent information on the managed fund sector in Australia. Since </w:t>
            </w:r>
            <w:proofErr w:type="gramStart"/>
            <w:r w:rsidR="00CD72FF">
              <w:rPr>
                <w:rFonts w:ascii="Arial" w:hAnsi="Arial" w:cs="Arial"/>
                <w:bCs/>
                <w:sz w:val="22"/>
              </w:rPr>
              <w:t>then</w:t>
            </w:r>
            <w:proofErr w:type="gramEnd"/>
            <w:r w:rsidR="000C6519">
              <w:rPr>
                <w:rFonts w:ascii="Arial" w:hAnsi="Arial" w:cs="Arial"/>
                <w:bCs/>
                <w:sz w:val="22"/>
              </w:rPr>
              <w:t xml:space="preserve"> it has grown to</w:t>
            </w:r>
            <w:r w:rsidR="00CD72FF">
              <w:rPr>
                <w:rFonts w:ascii="Arial" w:hAnsi="Arial" w:cs="Arial"/>
                <w:bCs/>
                <w:sz w:val="22"/>
              </w:rPr>
              <w:t xml:space="preserve"> </w:t>
            </w:r>
            <w:r w:rsidR="000C6519">
              <w:rPr>
                <w:rFonts w:ascii="Arial" w:hAnsi="Arial" w:cs="Arial"/>
                <w:bCs/>
                <w:sz w:val="22"/>
              </w:rPr>
              <w:t xml:space="preserve">include information </w:t>
            </w:r>
            <w:r w:rsidR="00CD72FF">
              <w:rPr>
                <w:rFonts w:ascii="Arial" w:hAnsi="Arial" w:cs="Arial"/>
                <w:bCs/>
                <w:sz w:val="22"/>
              </w:rPr>
              <w:t>comparing</w:t>
            </w:r>
            <w:r w:rsidR="000C6519">
              <w:rPr>
                <w:rFonts w:ascii="Arial" w:hAnsi="Arial" w:cs="Arial"/>
                <w:bCs/>
                <w:sz w:val="22"/>
              </w:rPr>
              <w:t xml:space="preserve"> over 700 actively managed funds</w:t>
            </w:r>
            <w:r w:rsidR="00AC3A07">
              <w:rPr>
                <w:rFonts w:ascii="Arial" w:hAnsi="Arial" w:cs="Arial"/>
                <w:bCs/>
                <w:sz w:val="22"/>
              </w:rPr>
              <w:t xml:space="preserve">. There is no advertising, and the information is presented in a series of formats, ranging from one page Fact Sheets suitable for inclusion in SAO’s, through to full Fund Profiles and </w:t>
            </w:r>
            <w:proofErr w:type="gramStart"/>
            <w:r w:rsidR="00CD72FF">
              <w:rPr>
                <w:rFonts w:ascii="Arial" w:hAnsi="Arial" w:cs="Arial"/>
                <w:bCs/>
                <w:sz w:val="22"/>
              </w:rPr>
              <w:t>in depth</w:t>
            </w:r>
            <w:proofErr w:type="gramEnd"/>
            <w:r w:rsidR="00CD72FF">
              <w:rPr>
                <w:rFonts w:ascii="Arial" w:hAnsi="Arial" w:cs="Arial"/>
                <w:bCs/>
                <w:sz w:val="22"/>
              </w:rPr>
              <w:t xml:space="preserve"> </w:t>
            </w:r>
            <w:r w:rsidR="00AC3A07">
              <w:rPr>
                <w:rFonts w:ascii="Arial" w:hAnsi="Arial" w:cs="Arial"/>
                <w:bCs/>
                <w:sz w:val="22"/>
              </w:rPr>
              <w:t>Research R</w:t>
            </w:r>
            <w:r w:rsidR="00C105AF">
              <w:rPr>
                <w:rFonts w:ascii="Arial" w:hAnsi="Arial" w:cs="Arial"/>
                <w:bCs/>
                <w:sz w:val="22"/>
              </w:rPr>
              <w:t>e</w:t>
            </w:r>
            <w:r w:rsidR="00AC3A07">
              <w:rPr>
                <w:rFonts w:ascii="Arial" w:hAnsi="Arial" w:cs="Arial"/>
                <w:bCs/>
                <w:sz w:val="22"/>
              </w:rPr>
              <w:t>ports</w:t>
            </w:r>
            <w:r w:rsidR="00C105AF">
              <w:rPr>
                <w:rFonts w:ascii="Arial" w:hAnsi="Arial" w:cs="Arial"/>
                <w:bCs/>
                <w:sz w:val="22"/>
              </w:rPr>
              <w:t>.</w:t>
            </w:r>
          </w:p>
          <w:p w14:paraId="61DBA4CE" w14:textId="2412CED1" w:rsidR="00C105AF" w:rsidRPr="002A0560" w:rsidRDefault="00C105AF" w:rsidP="00296DE8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18412830" w14:textId="77777777" w:rsidR="004B51B7" w:rsidRPr="00433080" w:rsidRDefault="004B51B7" w:rsidP="00296DE8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>Product/Service Description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3B7D" w:rsidRPr="00CC3B7D" w14:paraId="64DDA890" w14:textId="77777777" w:rsidTr="00CC3B7D">
        <w:tc>
          <w:tcPr>
            <w:tcW w:w="9350" w:type="dxa"/>
          </w:tcPr>
          <w:p w14:paraId="1E271947" w14:textId="77777777" w:rsidR="00680E8F" w:rsidRPr="00680E8F" w:rsidRDefault="00680E8F" w:rsidP="00180CA5">
            <w:pPr>
              <w:spacing w:after="120"/>
              <w:rPr>
                <w:rFonts w:ascii="Arial" w:hAnsi="Arial" w:cs="Arial"/>
                <w:b/>
                <w:bCs/>
                <w:sz w:val="22"/>
              </w:rPr>
            </w:pPr>
            <w:r w:rsidRPr="00680E8F">
              <w:rPr>
                <w:rFonts w:ascii="Arial" w:hAnsi="Arial" w:cs="Arial"/>
                <w:b/>
                <w:bCs/>
                <w:sz w:val="22"/>
              </w:rPr>
              <w:t>Compare and Research over 700 Managed Funds:</w:t>
            </w:r>
          </w:p>
          <w:p w14:paraId="2A200381" w14:textId="29C96199" w:rsidR="00CC3B7D" w:rsidRDefault="00684AF5" w:rsidP="00180CA5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Access to independent, easy to use, comparative performance information and analytics on managed fund</w:t>
            </w:r>
            <w:r w:rsidR="003144AF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 xml:space="preserve"> is essential </w:t>
            </w:r>
            <w:r w:rsidR="009871A6">
              <w:rPr>
                <w:rFonts w:ascii="Arial" w:hAnsi="Arial" w:cs="Arial"/>
                <w:sz w:val="22"/>
              </w:rPr>
              <w:t>when</w:t>
            </w:r>
            <w:r>
              <w:rPr>
                <w:rFonts w:ascii="Arial" w:hAnsi="Arial" w:cs="Arial"/>
                <w:sz w:val="22"/>
              </w:rPr>
              <w:t xml:space="preserve"> advisors </w:t>
            </w:r>
            <w:r w:rsidR="009871A6">
              <w:rPr>
                <w:rFonts w:ascii="Arial" w:hAnsi="Arial" w:cs="Arial"/>
                <w:sz w:val="22"/>
              </w:rPr>
              <w:t>are</w:t>
            </w:r>
            <w:r>
              <w:rPr>
                <w:rFonts w:ascii="Arial" w:hAnsi="Arial" w:cs="Arial"/>
                <w:sz w:val="22"/>
              </w:rPr>
              <w:t xml:space="preserve"> providing client advice</w:t>
            </w:r>
            <w:r w:rsidR="00CD72FF">
              <w:rPr>
                <w:rFonts w:ascii="Arial" w:hAnsi="Arial" w:cs="Arial"/>
                <w:sz w:val="22"/>
              </w:rPr>
              <w:t xml:space="preserve">. However, collating and </w:t>
            </w:r>
            <w:r>
              <w:rPr>
                <w:rFonts w:ascii="Arial" w:hAnsi="Arial" w:cs="Arial"/>
                <w:sz w:val="22"/>
              </w:rPr>
              <w:t>researching the information, and keeping it up to date</w:t>
            </w:r>
            <w:r w:rsidR="00CD72FF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is a time consuming </w:t>
            </w:r>
            <w:r w:rsidR="009871A6">
              <w:rPr>
                <w:rFonts w:ascii="Arial" w:hAnsi="Arial" w:cs="Arial"/>
                <w:sz w:val="22"/>
              </w:rPr>
              <w:t xml:space="preserve">and </w:t>
            </w:r>
            <w:r>
              <w:rPr>
                <w:rFonts w:ascii="Arial" w:hAnsi="Arial" w:cs="Arial"/>
                <w:sz w:val="22"/>
              </w:rPr>
              <w:t>potentially expensive exercise</w:t>
            </w:r>
            <w:r w:rsidR="00CD72FF">
              <w:rPr>
                <w:rFonts w:ascii="Arial" w:hAnsi="Arial" w:cs="Arial"/>
                <w:sz w:val="22"/>
              </w:rPr>
              <w:t xml:space="preserve">. This is </w:t>
            </w:r>
            <w:r w:rsidR="001D6AEC">
              <w:rPr>
                <w:rFonts w:ascii="Arial" w:hAnsi="Arial" w:cs="Arial"/>
                <w:sz w:val="22"/>
              </w:rPr>
              <w:t xml:space="preserve">particularly </w:t>
            </w:r>
            <w:r w:rsidR="00CD72FF">
              <w:rPr>
                <w:rFonts w:ascii="Arial" w:hAnsi="Arial" w:cs="Arial"/>
                <w:sz w:val="22"/>
              </w:rPr>
              <w:t xml:space="preserve">true </w:t>
            </w:r>
            <w:r w:rsidR="001D6AEC">
              <w:rPr>
                <w:rFonts w:ascii="Arial" w:hAnsi="Arial" w:cs="Arial"/>
                <w:sz w:val="22"/>
              </w:rPr>
              <w:t xml:space="preserve">for boutique advisory </w:t>
            </w:r>
            <w:r w:rsidR="00280482">
              <w:rPr>
                <w:rFonts w:ascii="Arial" w:hAnsi="Arial" w:cs="Arial"/>
                <w:sz w:val="22"/>
              </w:rPr>
              <w:t>firms</w:t>
            </w:r>
            <w:r w:rsidR="001D6AEC">
              <w:rPr>
                <w:rFonts w:ascii="Arial" w:hAnsi="Arial" w:cs="Arial"/>
                <w:sz w:val="22"/>
              </w:rPr>
              <w:t xml:space="preserve"> who may not have access to the internal research resources and departments of larger dealer groups.</w:t>
            </w:r>
          </w:p>
          <w:p w14:paraId="35166F8A" w14:textId="77777777" w:rsidR="003144AF" w:rsidRDefault="00280482" w:rsidP="00180CA5">
            <w:pPr>
              <w:spacing w:after="12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The FundMonitors.com data base is powerful, yet easy to use</w:t>
            </w:r>
            <w:r w:rsidR="00680E8F">
              <w:rPr>
                <w:rFonts w:ascii="Arial" w:hAnsi="Arial" w:cs="Arial"/>
                <w:bCs/>
                <w:sz w:val="22"/>
              </w:rPr>
              <w:t>.</w:t>
            </w:r>
            <w:r w:rsidR="003144AF"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14:paraId="5CCB8EE3" w14:textId="21EA6C45" w:rsidR="003144AF" w:rsidRDefault="003144AF" w:rsidP="00180CA5">
            <w:pPr>
              <w:spacing w:after="12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Users can search for individual funds to see a variety of </w:t>
            </w:r>
            <w:r w:rsidR="00752E02">
              <w:rPr>
                <w:rFonts w:ascii="Arial" w:hAnsi="Arial" w:cs="Arial"/>
                <w:bCs/>
                <w:sz w:val="22"/>
              </w:rPr>
              <w:t xml:space="preserve">Profile </w:t>
            </w:r>
            <w:r>
              <w:rPr>
                <w:rFonts w:ascii="Arial" w:hAnsi="Arial" w:cs="Arial"/>
                <w:bCs/>
                <w:sz w:val="22"/>
              </w:rPr>
              <w:t>views with descriptions of the fund manager and the fund’s strategy, historical monthly performance data, and a variety of performance charts and risk analytics.</w:t>
            </w:r>
            <w:r w:rsidR="00752E02">
              <w:rPr>
                <w:rFonts w:ascii="Arial" w:hAnsi="Arial" w:cs="Arial"/>
                <w:bCs/>
                <w:sz w:val="22"/>
              </w:rPr>
              <w:t xml:space="preserve"> Where available the manager’s monthly performance report and offer document are also available.</w:t>
            </w:r>
          </w:p>
          <w:p w14:paraId="19141D90" w14:textId="4EF953A9" w:rsidR="00280482" w:rsidRDefault="003144AF" w:rsidP="00180CA5">
            <w:pPr>
              <w:spacing w:after="12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Alternativel</w:t>
            </w:r>
            <w:r w:rsidR="00752E02">
              <w:rPr>
                <w:rFonts w:ascii="Arial" w:hAnsi="Arial" w:cs="Arial"/>
                <w:bCs/>
                <w:sz w:val="22"/>
              </w:rPr>
              <w:t>y,</w:t>
            </w:r>
            <w:r>
              <w:rPr>
                <w:rFonts w:ascii="Arial" w:hAnsi="Arial" w:cs="Arial"/>
                <w:bCs/>
                <w:sz w:val="22"/>
              </w:rPr>
              <w:t xml:space="preserve"> funds can be sorted by one of 15 peer groups, or by </w:t>
            </w:r>
            <w:r w:rsidR="00752E02">
              <w:rPr>
                <w:rFonts w:ascii="Arial" w:hAnsi="Arial" w:cs="Arial"/>
                <w:bCs/>
                <w:sz w:val="22"/>
              </w:rPr>
              <w:t xml:space="preserve">investment </w:t>
            </w:r>
            <w:r>
              <w:rPr>
                <w:rFonts w:ascii="Arial" w:hAnsi="Arial" w:cs="Arial"/>
                <w:bCs/>
                <w:sz w:val="22"/>
              </w:rPr>
              <w:t>strategy, with tables sorted by performance, risk analytics, investment terms</w:t>
            </w:r>
            <w:r w:rsidR="00752E02">
              <w:rPr>
                <w:rFonts w:ascii="Arial" w:hAnsi="Arial" w:cs="Arial"/>
                <w:bCs/>
                <w:sz w:val="22"/>
              </w:rPr>
              <w:t>, research ratings and platform availability.</w:t>
            </w:r>
          </w:p>
          <w:p w14:paraId="096587A6" w14:textId="77777777" w:rsidR="00180CA5" w:rsidRDefault="00752E02" w:rsidP="00180CA5">
            <w:pPr>
              <w:spacing w:after="12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Each fund’s performance data is updated every month, and the website includes a series of easy to use but powerful analytical tools</w:t>
            </w:r>
            <w:r w:rsidR="002D6DEC">
              <w:rPr>
                <w:rFonts w:ascii="Arial" w:hAnsi="Arial" w:cs="Arial"/>
                <w:bCs/>
                <w:sz w:val="22"/>
              </w:rPr>
              <w:t>,</w:t>
            </w:r>
            <w:r>
              <w:rPr>
                <w:rFonts w:ascii="Arial" w:hAnsi="Arial" w:cs="Arial"/>
                <w:bCs/>
                <w:sz w:val="22"/>
              </w:rPr>
              <w:t xml:space="preserve"> including</w:t>
            </w:r>
            <w:r w:rsidR="00180CA5">
              <w:rPr>
                <w:rFonts w:ascii="Arial" w:hAnsi="Arial" w:cs="Arial"/>
                <w:bCs/>
                <w:sz w:val="22"/>
              </w:rPr>
              <w:t>:</w:t>
            </w:r>
          </w:p>
          <w:p w14:paraId="1A6CABAD" w14:textId="6A610F7C" w:rsidR="00180CA5" w:rsidRPr="00180CA5" w:rsidRDefault="00752E02" w:rsidP="00180CA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Cs/>
                <w:sz w:val="22"/>
              </w:rPr>
            </w:pPr>
            <w:r w:rsidRPr="00180CA5">
              <w:rPr>
                <w:rFonts w:ascii="Arial" w:hAnsi="Arial" w:cs="Arial"/>
                <w:bCs/>
                <w:sz w:val="22"/>
              </w:rPr>
              <w:t xml:space="preserve">Peer Group tables, </w:t>
            </w:r>
          </w:p>
          <w:p w14:paraId="4324DCCE" w14:textId="77777777" w:rsidR="00180CA5" w:rsidRPr="00180CA5" w:rsidRDefault="00752E02" w:rsidP="00180CA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Cs/>
                <w:sz w:val="22"/>
              </w:rPr>
            </w:pPr>
            <w:r w:rsidRPr="00180CA5">
              <w:rPr>
                <w:rFonts w:ascii="Arial" w:hAnsi="Arial" w:cs="Arial"/>
                <w:bCs/>
                <w:sz w:val="22"/>
              </w:rPr>
              <w:t xml:space="preserve">Watch Lists, </w:t>
            </w:r>
          </w:p>
          <w:p w14:paraId="0B983CCC" w14:textId="77777777" w:rsidR="00180CA5" w:rsidRPr="00180CA5" w:rsidRDefault="00752E02" w:rsidP="00180CA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Cs/>
                <w:sz w:val="22"/>
              </w:rPr>
            </w:pPr>
            <w:r w:rsidRPr="00180CA5">
              <w:rPr>
                <w:rFonts w:ascii="Arial" w:hAnsi="Arial" w:cs="Arial"/>
                <w:bCs/>
                <w:sz w:val="22"/>
              </w:rPr>
              <w:t xml:space="preserve">Portfolios and </w:t>
            </w:r>
          </w:p>
          <w:p w14:paraId="1FE8C35D" w14:textId="7837B143" w:rsidR="00752E02" w:rsidRPr="00180CA5" w:rsidRDefault="00752E02" w:rsidP="00180CA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Cs/>
                <w:sz w:val="22"/>
              </w:rPr>
            </w:pPr>
            <w:r w:rsidRPr="00180CA5">
              <w:rPr>
                <w:rFonts w:ascii="Arial" w:hAnsi="Arial" w:cs="Arial"/>
                <w:bCs/>
                <w:sz w:val="22"/>
              </w:rPr>
              <w:t>Custom Reports.</w:t>
            </w:r>
          </w:p>
          <w:p w14:paraId="16AF79BB" w14:textId="4A9ABE76" w:rsidR="00075142" w:rsidRPr="00CC3B7D" w:rsidRDefault="002D6DEC" w:rsidP="00180CA5">
            <w:pPr>
              <w:spacing w:after="12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In-depth FACTORS Research Reports are also available on selected funds.</w:t>
            </w:r>
          </w:p>
        </w:tc>
      </w:tr>
    </w:tbl>
    <w:p w14:paraId="26988DE8" w14:textId="44A696B9" w:rsidR="00075142" w:rsidRDefault="00075142" w:rsidP="00A95DDF">
      <w:pPr>
        <w:rPr>
          <w:rFonts w:ascii="Arial" w:hAnsi="Arial" w:cs="Arial"/>
          <w:bCs/>
          <w:sz w:val="24"/>
          <w:szCs w:val="24"/>
        </w:rPr>
      </w:pPr>
    </w:p>
    <w:p w14:paraId="45F11FCF" w14:textId="77777777" w:rsidR="00075142" w:rsidRDefault="0007514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4588BED8" w14:textId="77777777" w:rsidR="00A95DDF" w:rsidRPr="00433080" w:rsidRDefault="00A95DDF" w:rsidP="00A95DDF">
      <w:pPr>
        <w:ind w:left="3600" w:hanging="3600"/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lastRenderedPageBreak/>
        <w:t>BFP Pricing Arrangement</w:t>
      </w: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3B7D" w:rsidRPr="00CC3B7D" w14:paraId="7F1A52A3" w14:textId="77777777" w:rsidTr="00CC3B7D">
        <w:tc>
          <w:tcPr>
            <w:tcW w:w="9350" w:type="dxa"/>
          </w:tcPr>
          <w:p w14:paraId="2A0E3BD6" w14:textId="77777777" w:rsidR="00CC3B7D" w:rsidRPr="00CC3B7D" w:rsidRDefault="00CC3B7D" w:rsidP="002A0560"/>
        </w:tc>
      </w:tr>
    </w:tbl>
    <w:p w14:paraId="386E2AF3" w14:textId="522A7458" w:rsidR="009871A6" w:rsidRDefault="009871A6" w:rsidP="009871A6">
      <w:pPr>
        <w:rPr>
          <w:rFonts w:ascii="Arial" w:hAnsi="Arial" w:cs="Arial"/>
          <w:bCs/>
          <w:sz w:val="22"/>
        </w:rPr>
      </w:pPr>
      <w:r w:rsidRPr="00075142">
        <w:rPr>
          <w:rFonts w:ascii="Arial" w:hAnsi="Arial" w:cs="Arial"/>
          <w:bCs/>
          <w:sz w:val="22"/>
        </w:rPr>
        <w:t>Fu</w:t>
      </w:r>
      <w:r>
        <w:rPr>
          <w:rFonts w:ascii="Arial" w:hAnsi="Arial" w:cs="Arial"/>
          <w:bCs/>
          <w:sz w:val="22"/>
        </w:rPr>
        <w:t xml:space="preserve">ndMonitors.com operates both a free version and a subscription service. </w:t>
      </w:r>
    </w:p>
    <w:p w14:paraId="6DC6B5A9" w14:textId="768893C1" w:rsidR="00180CA5" w:rsidRDefault="00180CA5" w:rsidP="00075142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At a basic level there is a “Forever Free” version which provides limited information to allow users to </w:t>
      </w:r>
      <w:r w:rsidR="009871A6">
        <w:rPr>
          <w:rFonts w:ascii="Arial" w:hAnsi="Arial" w:cs="Arial"/>
          <w:bCs/>
          <w:sz w:val="22"/>
        </w:rPr>
        <w:t>view</w:t>
      </w:r>
      <w:r>
        <w:rPr>
          <w:rFonts w:ascii="Arial" w:hAnsi="Arial" w:cs="Arial"/>
          <w:bCs/>
          <w:sz w:val="22"/>
        </w:rPr>
        <w:t xml:space="preserve"> the site, but Financial Advisors would</w:t>
      </w:r>
      <w:r w:rsidR="009871A6">
        <w:rPr>
          <w:rFonts w:ascii="Arial" w:hAnsi="Arial" w:cs="Arial"/>
          <w:bCs/>
          <w:sz w:val="22"/>
        </w:rPr>
        <w:t xml:space="preserve"> find this of limited use.</w:t>
      </w:r>
      <w:r>
        <w:rPr>
          <w:rFonts w:ascii="Arial" w:hAnsi="Arial" w:cs="Arial"/>
          <w:bCs/>
          <w:sz w:val="22"/>
        </w:rPr>
        <w:t xml:space="preserve"> </w:t>
      </w:r>
    </w:p>
    <w:p w14:paraId="0CFF9365" w14:textId="2BEAC397" w:rsidR="00DA0D5E" w:rsidRDefault="00DA0D5E" w:rsidP="00075142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There are 2 </w:t>
      </w:r>
      <w:r w:rsidR="000E7ADD">
        <w:rPr>
          <w:rFonts w:ascii="Arial" w:hAnsi="Arial" w:cs="Arial"/>
          <w:bCs/>
          <w:sz w:val="22"/>
        </w:rPr>
        <w:t xml:space="preserve">standard </w:t>
      </w:r>
      <w:r>
        <w:rPr>
          <w:rFonts w:ascii="Arial" w:hAnsi="Arial" w:cs="Arial"/>
          <w:bCs/>
          <w:sz w:val="22"/>
        </w:rPr>
        <w:t>subscription levels</w:t>
      </w:r>
      <w:r w:rsidR="000E7ADD" w:rsidRPr="000E7ADD">
        <w:rPr>
          <w:rFonts w:ascii="Arial" w:hAnsi="Arial" w:cs="Arial"/>
          <w:bCs/>
          <w:sz w:val="22"/>
        </w:rPr>
        <w:t xml:space="preserve"> </w:t>
      </w:r>
      <w:r w:rsidR="000E7ADD">
        <w:rPr>
          <w:rFonts w:ascii="Arial" w:hAnsi="Arial" w:cs="Arial"/>
          <w:bCs/>
          <w:sz w:val="22"/>
        </w:rPr>
        <w:t xml:space="preserve">available, each with a </w:t>
      </w:r>
      <w:proofErr w:type="gramStart"/>
      <w:r w:rsidR="000E7ADD">
        <w:rPr>
          <w:rFonts w:ascii="Arial" w:hAnsi="Arial" w:cs="Arial"/>
          <w:bCs/>
          <w:sz w:val="22"/>
        </w:rPr>
        <w:t>30 day</w:t>
      </w:r>
      <w:proofErr w:type="gramEnd"/>
      <w:r w:rsidR="000E7ADD">
        <w:rPr>
          <w:rFonts w:ascii="Arial" w:hAnsi="Arial" w:cs="Arial"/>
          <w:bCs/>
          <w:sz w:val="22"/>
        </w:rPr>
        <w:t xml:space="preserve"> Free Trial</w:t>
      </w:r>
      <w:r>
        <w:rPr>
          <w:rFonts w:ascii="Arial" w:hAnsi="Arial" w:cs="Arial"/>
          <w:bCs/>
          <w:sz w:val="22"/>
        </w:rPr>
        <w:t>:</w:t>
      </w:r>
    </w:p>
    <w:p w14:paraId="265C7DAD" w14:textId="0F6BD9B7" w:rsidR="007C323A" w:rsidRPr="000E7ADD" w:rsidRDefault="007C323A" w:rsidP="000E7ADD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bCs/>
          <w:sz w:val="22"/>
        </w:rPr>
      </w:pPr>
      <w:r w:rsidRPr="000E7ADD">
        <w:rPr>
          <w:rFonts w:ascii="Arial" w:hAnsi="Arial" w:cs="Arial"/>
          <w:bCs/>
          <w:sz w:val="22"/>
        </w:rPr>
        <w:t xml:space="preserve">Lite: Suitable for </w:t>
      </w:r>
      <w:proofErr w:type="spellStart"/>
      <w:r w:rsidRPr="000E7ADD">
        <w:rPr>
          <w:rFonts w:ascii="Arial" w:hAnsi="Arial" w:cs="Arial"/>
          <w:bCs/>
          <w:sz w:val="22"/>
        </w:rPr>
        <w:t>self directed</w:t>
      </w:r>
      <w:proofErr w:type="spellEnd"/>
      <w:r w:rsidRPr="000E7ADD">
        <w:rPr>
          <w:rFonts w:ascii="Arial" w:hAnsi="Arial" w:cs="Arial"/>
          <w:bCs/>
          <w:sz w:val="22"/>
        </w:rPr>
        <w:t xml:space="preserve"> and HNW Investors - $348 per annum or $33 per month</w:t>
      </w:r>
    </w:p>
    <w:p w14:paraId="3F98EADA" w14:textId="78BB100C" w:rsidR="007C323A" w:rsidRPr="000E7ADD" w:rsidRDefault="007C323A" w:rsidP="000E7AD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</w:rPr>
      </w:pPr>
      <w:r w:rsidRPr="000E7ADD">
        <w:rPr>
          <w:rFonts w:ascii="Arial" w:hAnsi="Arial" w:cs="Arial"/>
          <w:bCs/>
          <w:sz w:val="22"/>
        </w:rPr>
        <w:t>Premium: Suitable for Professional Investors and Advisors - $1,348 per annum, or $120 per month.</w:t>
      </w:r>
    </w:p>
    <w:p w14:paraId="14555DDA" w14:textId="5433912A" w:rsidR="007C323A" w:rsidRDefault="007C323A" w:rsidP="00075142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We would like to offer </w:t>
      </w:r>
      <w:r w:rsidR="001B4AF2">
        <w:rPr>
          <w:rFonts w:ascii="Arial" w:hAnsi="Arial" w:cs="Arial"/>
          <w:bCs/>
          <w:sz w:val="22"/>
        </w:rPr>
        <w:t>BFP Members a discount of 2</w:t>
      </w:r>
      <w:r w:rsidR="000E7ADD">
        <w:rPr>
          <w:rFonts w:ascii="Arial" w:hAnsi="Arial" w:cs="Arial"/>
          <w:bCs/>
          <w:sz w:val="22"/>
        </w:rPr>
        <w:t>0</w:t>
      </w:r>
      <w:r w:rsidR="001B4AF2">
        <w:rPr>
          <w:rFonts w:ascii="Arial" w:hAnsi="Arial" w:cs="Arial"/>
          <w:bCs/>
          <w:sz w:val="22"/>
        </w:rPr>
        <w:t xml:space="preserve">% off the </w:t>
      </w:r>
      <w:r w:rsidR="00DB5C94">
        <w:rPr>
          <w:rFonts w:ascii="Arial" w:hAnsi="Arial" w:cs="Arial"/>
          <w:bCs/>
          <w:sz w:val="22"/>
        </w:rPr>
        <w:t xml:space="preserve">above </w:t>
      </w:r>
      <w:r w:rsidR="00F44926">
        <w:rPr>
          <w:rFonts w:ascii="Arial" w:hAnsi="Arial" w:cs="Arial"/>
          <w:bCs/>
          <w:sz w:val="22"/>
        </w:rPr>
        <w:t>a</w:t>
      </w:r>
      <w:r w:rsidR="001B4AF2">
        <w:rPr>
          <w:rFonts w:ascii="Arial" w:hAnsi="Arial" w:cs="Arial"/>
          <w:bCs/>
          <w:sz w:val="22"/>
        </w:rPr>
        <w:t>nnual subscription, and 10% off the monthly subscription.</w:t>
      </w:r>
    </w:p>
    <w:p w14:paraId="7FB030E3" w14:textId="77777777" w:rsidR="00DA0D5E" w:rsidRPr="00075142" w:rsidRDefault="00DA0D5E" w:rsidP="00075142">
      <w:pPr>
        <w:spacing w:after="0" w:line="240" w:lineRule="auto"/>
        <w:rPr>
          <w:rFonts w:ascii="Arial" w:hAnsi="Arial" w:cs="Arial"/>
          <w:bCs/>
          <w:sz w:val="22"/>
        </w:rPr>
      </w:pPr>
    </w:p>
    <w:p w14:paraId="6B68D473" w14:textId="77777777" w:rsidR="00A95DDF" w:rsidRPr="00433080" w:rsidRDefault="00A95DDF" w:rsidP="00A95DDF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>Process to Access Offer</w:t>
      </w: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ab/>
      </w: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C3B7D" w:rsidRPr="00CC3B7D" w14:paraId="55D10861" w14:textId="77777777" w:rsidTr="00CC3B7D">
        <w:tc>
          <w:tcPr>
            <w:tcW w:w="9350" w:type="dxa"/>
          </w:tcPr>
          <w:p w14:paraId="2FAB3305" w14:textId="77777777" w:rsidR="00CC3B7D" w:rsidRPr="00CC3B7D" w:rsidRDefault="00CC3B7D" w:rsidP="00CC3B7D">
            <w:pPr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2A1D538A" w14:textId="5A116648" w:rsidR="00DB5C94" w:rsidRDefault="009871A6" w:rsidP="00CC3B7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Go to </w:t>
      </w:r>
      <w:hyperlink r:id="rId13" w:history="1">
        <w:r w:rsidRPr="00174C94">
          <w:rPr>
            <w:rStyle w:val="Hyperlink"/>
            <w:rFonts w:ascii="Arial" w:hAnsi="Arial" w:cs="Arial"/>
            <w:bCs/>
            <w:sz w:val="24"/>
            <w:szCs w:val="24"/>
          </w:rPr>
          <w:t>www.fundmonitors.com</w:t>
        </w:r>
      </w:hyperlink>
      <w:r>
        <w:rPr>
          <w:rFonts w:ascii="Arial" w:hAnsi="Arial" w:cs="Arial"/>
          <w:bCs/>
          <w:sz w:val="24"/>
          <w:szCs w:val="24"/>
        </w:rPr>
        <w:t xml:space="preserve"> or f</w:t>
      </w:r>
      <w:r w:rsidR="002714BA">
        <w:rPr>
          <w:rFonts w:ascii="Arial" w:hAnsi="Arial" w:cs="Arial"/>
          <w:bCs/>
          <w:sz w:val="24"/>
          <w:szCs w:val="24"/>
        </w:rPr>
        <w:t xml:space="preserve">ollow </w:t>
      </w:r>
      <w:hyperlink r:id="rId14" w:history="1">
        <w:r w:rsidR="002714BA" w:rsidRPr="00F44926">
          <w:rPr>
            <w:rStyle w:val="Hyperlink"/>
            <w:rFonts w:ascii="Arial" w:hAnsi="Arial" w:cs="Arial"/>
            <w:bCs/>
            <w:color w:val="44546A" w:themeColor="text2"/>
            <w:sz w:val="24"/>
            <w:szCs w:val="24"/>
          </w:rPr>
          <w:t>this link</w:t>
        </w:r>
      </w:hyperlink>
      <w:r w:rsidR="002714BA">
        <w:rPr>
          <w:rFonts w:ascii="Arial" w:hAnsi="Arial" w:cs="Arial"/>
          <w:bCs/>
          <w:sz w:val="24"/>
          <w:szCs w:val="24"/>
        </w:rPr>
        <w:t xml:space="preserve"> to register or subscribe and enter the following Code:</w:t>
      </w:r>
      <w:r w:rsidR="00DB5C94">
        <w:rPr>
          <w:rFonts w:ascii="Arial" w:hAnsi="Arial" w:cs="Arial"/>
          <w:bCs/>
          <w:sz w:val="24"/>
          <w:szCs w:val="24"/>
        </w:rPr>
        <w:t xml:space="preserve"> BFP2022</w:t>
      </w:r>
    </w:p>
    <w:p w14:paraId="19275CFE" w14:textId="11AC7CAE" w:rsidR="002714BA" w:rsidRPr="00433080" w:rsidRDefault="00DB5C94" w:rsidP="00CC3B7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Or email </w:t>
      </w:r>
      <w:hyperlink r:id="rId15" w:history="1">
        <w:r w:rsidRPr="00174C94">
          <w:rPr>
            <w:rStyle w:val="Hyperlink"/>
            <w:rFonts w:ascii="Arial" w:hAnsi="Arial" w:cs="Arial"/>
            <w:bCs/>
            <w:sz w:val="24"/>
            <w:szCs w:val="24"/>
          </w:rPr>
          <w:t>contact@fundmonitors.com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  <w:r w:rsidR="002714BA">
        <w:rPr>
          <w:rFonts w:ascii="Arial" w:hAnsi="Arial" w:cs="Arial"/>
          <w:bCs/>
          <w:sz w:val="24"/>
          <w:szCs w:val="24"/>
        </w:rPr>
        <w:t>for further details and a guided tour of FundMonitors.com</w:t>
      </w:r>
    </w:p>
    <w:p w14:paraId="305D3435" w14:textId="77777777" w:rsidR="00105C04" w:rsidRPr="00433080" w:rsidRDefault="00A95DDF" w:rsidP="00A95DDF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433080">
        <w:rPr>
          <w:rFonts w:ascii="Arial" w:hAnsi="Arial" w:cs="Arial"/>
          <w:b/>
          <w:bCs/>
          <w:color w:val="C00000"/>
          <w:sz w:val="24"/>
          <w:szCs w:val="24"/>
        </w:rPr>
        <w:t xml:space="preserve">Business Representative Details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9"/>
      </w:tblGrid>
      <w:tr w:rsidR="00CC3B7D" w14:paraId="1CB5E2DB" w14:textId="77777777" w:rsidTr="00CC3B7D">
        <w:tc>
          <w:tcPr>
            <w:tcW w:w="1271" w:type="dxa"/>
          </w:tcPr>
          <w:p w14:paraId="02A89D30" w14:textId="77777777" w:rsidR="00CC3B7D" w:rsidRDefault="00CC3B7D" w:rsidP="00A95DDF">
            <w:pPr>
              <w:rPr>
                <w:rFonts w:ascii="Arial" w:hAnsi="Arial" w:cs="Arial"/>
                <w:bCs/>
                <w:sz w:val="22"/>
              </w:rPr>
            </w:pPr>
            <w:r w:rsidRPr="00105C04">
              <w:rPr>
                <w:rFonts w:ascii="Arial" w:hAnsi="Arial" w:cs="Arial"/>
                <w:bCs/>
                <w:sz w:val="22"/>
              </w:rPr>
              <w:t>Name:</w:t>
            </w:r>
          </w:p>
        </w:tc>
        <w:tc>
          <w:tcPr>
            <w:tcW w:w="8079" w:type="dxa"/>
          </w:tcPr>
          <w:p w14:paraId="19A2FC4D" w14:textId="15FEBEA5" w:rsidR="00CC3B7D" w:rsidRPr="00CC3B7D" w:rsidRDefault="002714BA" w:rsidP="00A95DD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Chris Gosselin</w:t>
            </w:r>
          </w:p>
        </w:tc>
      </w:tr>
    </w:tbl>
    <w:p w14:paraId="08CC9D9D" w14:textId="77777777" w:rsidR="00CC3B7D" w:rsidRDefault="00105C04" w:rsidP="003B7E3A">
      <w:pPr>
        <w:rPr>
          <w:rFonts w:ascii="Arial" w:hAnsi="Arial" w:cs="Arial"/>
          <w:bCs/>
          <w:sz w:val="22"/>
        </w:rPr>
      </w:pPr>
      <w:r>
        <w:rPr>
          <w:rStyle w:val="Hyperlink"/>
          <w:rFonts w:ascii="Arial" w:hAnsi="Arial" w:cs="Arial"/>
          <w:bCs/>
          <w:sz w:val="22"/>
        </w:rPr>
        <w:t xml:space="preserve"> </w:t>
      </w:r>
      <w:r w:rsidR="003B7E3A">
        <w:rPr>
          <w:rFonts w:ascii="Arial" w:hAnsi="Arial" w:cs="Arial"/>
          <w:bCs/>
          <w:sz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9"/>
      </w:tblGrid>
      <w:tr w:rsidR="00CC3B7D" w14:paraId="202C6AED" w14:textId="77777777" w:rsidTr="00CC3B7D">
        <w:tc>
          <w:tcPr>
            <w:tcW w:w="1271" w:type="dxa"/>
          </w:tcPr>
          <w:p w14:paraId="2CC75066" w14:textId="77777777" w:rsidR="00CC3B7D" w:rsidRDefault="00CC3B7D" w:rsidP="0002565F">
            <w:pPr>
              <w:rPr>
                <w:rFonts w:ascii="Arial" w:hAnsi="Arial" w:cs="Arial"/>
                <w:bCs/>
                <w:sz w:val="22"/>
              </w:rPr>
            </w:pPr>
            <w:r w:rsidRPr="00F05B39">
              <w:rPr>
                <w:rFonts w:ascii="Arial" w:hAnsi="Arial" w:cs="Arial"/>
                <w:bCs/>
                <w:sz w:val="22"/>
              </w:rPr>
              <w:t>Email:</w:t>
            </w:r>
          </w:p>
        </w:tc>
        <w:tc>
          <w:tcPr>
            <w:tcW w:w="8079" w:type="dxa"/>
          </w:tcPr>
          <w:p w14:paraId="75643404" w14:textId="6A7750C8" w:rsidR="00CC3B7D" w:rsidRPr="00CC3B7D" w:rsidRDefault="002714BA" w:rsidP="0002565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chris.gosselin@fundmonitors.com</w:t>
            </w:r>
          </w:p>
        </w:tc>
      </w:tr>
    </w:tbl>
    <w:p w14:paraId="630EC81C" w14:textId="77777777" w:rsidR="00CC3B7D" w:rsidRPr="003B7E3A" w:rsidRDefault="00CC3B7D" w:rsidP="00A95DDF">
      <w:pPr>
        <w:rPr>
          <w:rFonts w:ascii="Arial" w:hAnsi="Arial" w:cs="Arial"/>
          <w:bCs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9"/>
      </w:tblGrid>
      <w:tr w:rsidR="00CC3B7D" w14:paraId="1E6F7ACF" w14:textId="77777777" w:rsidTr="00CC3B7D">
        <w:tc>
          <w:tcPr>
            <w:tcW w:w="1271" w:type="dxa"/>
          </w:tcPr>
          <w:p w14:paraId="491FB4FC" w14:textId="5B0D22BF" w:rsidR="00CC3B7D" w:rsidRDefault="00CC3B7D" w:rsidP="0002565F">
            <w:pPr>
              <w:rPr>
                <w:rFonts w:ascii="Arial" w:hAnsi="Arial" w:cs="Arial"/>
                <w:bCs/>
                <w:sz w:val="22"/>
              </w:rPr>
            </w:pPr>
            <w:r w:rsidRPr="00F05B39">
              <w:rPr>
                <w:rFonts w:ascii="Arial" w:hAnsi="Arial" w:cs="Arial"/>
                <w:bCs/>
                <w:sz w:val="22"/>
              </w:rPr>
              <w:t>Phone:</w:t>
            </w:r>
          </w:p>
        </w:tc>
        <w:tc>
          <w:tcPr>
            <w:tcW w:w="8079" w:type="dxa"/>
          </w:tcPr>
          <w:p w14:paraId="606F0714" w14:textId="1CDEBD30" w:rsidR="00CC3B7D" w:rsidRPr="00CC3B7D" w:rsidRDefault="002714BA" w:rsidP="0002565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02 8022 8494 or mobile, 0411 537 830</w:t>
            </w:r>
          </w:p>
        </w:tc>
      </w:tr>
    </w:tbl>
    <w:p w14:paraId="35C72A4C" w14:textId="77777777" w:rsidR="00A95DDF" w:rsidRPr="003B7E3A" w:rsidRDefault="00A95DDF" w:rsidP="00A95DDF">
      <w:pPr>
        <w:rPr>
          <w:rFonts w:ascii="Arial" w:hAnsi="Arial" w:cs="Arial"/>
          <w:bCs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9"/>
      </w:tblGrid>
      <w:tr w:rsidR="00CC3B7D" w14:paraId="3BCACE8C" w14:textId="77777777" w:rsidTr="00CC3B7D">
        <w:tc>
          <w:tcPr>
            <w:tcW w:w="1271" w:type="dxa"/>
          </w:tcPr>
          <w:p w14:paraId="34AE69F2" w14:textId="17C64B70" w:rsidR="00CC3B7D" w:rsidRDefault="00CC3B7D" w:rsidP="00CC3B7D">
            <w:pPr>
              <w:rPr>
                <w:rFonts w:ascii="Arial" w:hAnsi="Arial" w:cs="Arial"/>
                <w:bCs/>
                <w:sz w:val="22"/>
              </w:rPr>
            </w:pPr>
            <w:r w:rsidRPr="00F05B39">
              <w:rPr>
                <w:rFonts w:ascii="Arial" w:hAnsi="Arial" w:cs="Arial"/>
                <w:b/>
                <w:bCs/>
                <w:sz w:val="22"/>
              </w:rPr>
              <w:t>Date:</w:t>
            </w:r>
            <w:r w:rsidR="002714B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8079" w:type="dxa"/>
          </w:tcPr>
          <w:p w14:paraId="22233591" w14:textId="4F2F8A4A" w:rsidR="00CC3B7D" w:rsidRPr="00CC3B7D" w:rsidRDefault="002714BA" w:rsidP="0002565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September, 2022</w:t>
            </w:r>
          </w:p>
        </w:tc>
      </w:tr>
    </w:tbl>
    <w:p w14:paraId="6E62A6A6" w14:textId="77777777" w:rsidR="00A95DDF" w:rsidRPr="00170458" w:rsidRDefault="00A95DDF" w:rsidP="00A95DDF">
      <w:pPr>
        <w:rPr>
          <w:rFonts w:ascii="Arial" w:hAnsi="Arial" w:cs="Arial"/>
          <w:bCs/>
          <w:sz w:val="22"/>
        </w:rPr>
      </w:pPr>
      <w:r w:rsidRPr="00F05B39">
        <w:rPr>
          <w:rFonts w:ascii="Arial" w:hAnsi="Arial" w:cs="Arial"/>
          <w:b/>
          <w:bCs/>
          <w:sz w:val="22"/>
        </w:rPr>
        <w:tab/>
      </w:r>
    </w:p>
    <w:p w14:paraId="59A02DAE" w14:textId="77777777" w:rsidR="00A95DDF" w:rsidRPr="00F05B39" w:rsidRDefault="00A95DDF" w:rsidP="00A95DDF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</w:p>
    <w:p w14:paraId="197AC294" w14:textId="77777777" w:rsidR="00170458" w:rsidRPr="00170458" w:rsidRDefault="00170458">
      <w:pPr>
        <w:rPr>
          <w:rFonts w:ascii="Arial" w:hAnsi="Arial" w:cs="Arial"/>
          <w:bCs/>
          <w:color w:val="002060"/>
          <w:sz w:val="22"/>
        </w:rPr>
      </w:pPr>
    </w:p>
    <w:sectPr w:rsidR="00170458" w:rsidRPr="00170458" w:rsidSect="002A0560">
      <w:footerReference w:type="even" r:id="rId16"/>
      <w:pgSz w:w="12240" w:h="15840"/>
      <w:pgMar w:top="567" w:right="1440" w:bottom="142" w:left="1440" w:header="720" w:footer="1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133A" w14:textId="77777777" w:rsidR="00315B1F" w:rsidRDefault="00315B1F" w:rsidP="00D5600B">
      <w:pPr>
        <w:spacing w:after="0" w:line="240" w:lineRule="auto"/>
      </w:pPr>
      <w:r>
        <w:separator/>
      </w:r>
    </w:p>
  </w:endnote>
  <w:endnote w:type="continuationSeparator" w:id="0">
    <w:p w14:paraId="6D21D7B0" w14:textId="77777777" w:rsidR="00315B1F" w:rsidRDefault="00315B1F" w:rsidP="00D5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7537" w14:textId="77777777" w:rsidR="002A0560" w:rsidRDefault="002A0560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1" layoutInCell="1" allowOverlap="0" wp14:anchorId="7C50EC15" wp14:editId="477DE01C">
          <wp:simplePos x="0" y="0"/>
          <wp:positionH relativeFrom="column">
            <wp:posOffset>933450</wp:posOffset>
          </wp:positionH>
          <wp:positionV relativeFrom="page">
            <wp:posOffset>9145905</wp:posOffset>
          </wp:positionV>
          <wp:extent cx="4218940" cy="809625"/>
          <wp:effectExtent l="0" t="0" r="0" b="9525"/>
          <wp:wrapTight wrapText="bothSides">
            <wp:wrapPolygon edited="0">
              <wp:start x="0" y="0"/>
              <wp:lineTo x="0" y="21346"/>
              <wp:lineTo x="21457" y="21346"/>
              <wp:lineTo x="2145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4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BA23" w14:textId="77777777" w:rsidR="00315B1F" w:rsidRDefault="00315B1F" w:rsidP="00D5600B">
      <w:pPr>
        <w:spacing w:after="0" w:line="240" w:lineRule="auto"/>
      </w:pPr>
      <w:r>
        <w:separator/>
      </w:r>
    </w:p>
  </w:footnote>
  <w:footnote w:type="continuationSeparator" w:id="0">
    <w:p w14:paraId="374E52A7" w14:textId="77777777" w:rsidR="00315B1F" w:rsidRDefault="00315B1F" w:rsidP="00D56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4837"/>
    <w:multiLevelType w:val="hybridMultilevel"/>
    <w:tmpl w:val="3252CE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725B2"/>
    <w:multiLevelType w:val="hybridMultilevel"/>
    <w:tmpl w:val="C41A9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278698">
    <w:abstractNumId w:val="0"/>
  </w:num>
  <w:num w:numId="2" w16cid:durableId="177998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BE10041-B8B5-4A49-81C0-FCDC94D5B367}"/>
    <w:docVar w:name="dgnword-eventsink" w:val="384411304"/>
  </w:docVars>
  <w:rsids>
    <w:rsidRoot w:val="008065A2"/>
    <w:rsid w:val="000227BE"/>
    <w:rsid w:val="0004430C"/>
    <w:rsid w:val="0005175A"/>
    <w:rsid w:val="00075142"/>
    <w:rsid w:val="000C6519"/>
    <w:rsid w:val="000D06DD"/>
    <w:rsid w:val="000E452C"/>
    <w:rsid w:val="000E759C"/>
    <w:rsid w:val="000E7ADD"/>
    <w:rsid w:val="00105C04"/>
    <w:rsid w:val="00170458"/>
    <w:rsid w:val="00180CA5"/>
    <w:rsid w:val="001830F1"/>
    <w:rsid w:val="00192D60"/>
    <w:rsid w:val="001B4AF2"/>
    <w:rsid w:val="001B4B12"/>
    <w:rsid w:val="001D6AEC"/>
    <w:rsid w:val="0023389E"/>
    <w:rsid w:val="00263A9B"/>
    <w:rsid w:val="002714BA"/>
    <w:rsid w:val="00280482"/>
    <w:rsid w:val="00296DE8"/>
    <w:rsid w:val="002A0560"/>
    <w:rsid w:val="002D6DEC"/>
    <w:rsid w:val="00301245"/>
    <w:rsid w:val="003144AF"/>
    <w:rsid w:val="00315B1F"/>
    <w:rsid w:val="0035599C"/>
    <w:rsid w:val="003A184F"/>
    <w:rsid w:val="003B5A29"/>
    <w:rsid w:val="003B7E3A"/>
    <w:rsid w:val="003D57A5"/>
    <w:rsid w:val="00411556"/>
    <w:rsid w:val="00433080"/>
    <w:rsid w:val="004B51B7"/>
    <w:rsid w:val="004E4593"/>
    <w:rsid w:val="005B515C"/>
    <w:rsid w:val="005B7B76"/>
    <w:rsid w:val="005D7186"/>
    <w:rsid w:val="005E2849"/>
    <w:rsid w:val="00623676"/>
    <w:rsid w:val="00680E8F"/>
    <w:rsid w:val="00684AF5"/>
    <w:rsid w:val="00686F0F"/>
    <w:rsid w:val="006A25A5"/>
    <w:rsid w:val="006D42FC"/>
    <w:rsid w:val="006D49A4"/>
    <w:rsid w:val="00752E02"/>
    <w:rsid w:val="007615E3"/>
    <w:rsid w:val="007B062B"/>
    <w:rsid w:val="007C323A"/>
    <w:rsid w:val="007F191D"/>
    <w:rsid w:val="007F4B40"/>
    <w:rsid w:val="008065A2"/>
    <w:rsid w:val="00833FF6"/>
    <w:rsid w:val="00854166"/>
    <w:rsid w:val="008675FB"/>
    <w:rsid w:val="008E08FE"/>
    <w:rsid w:val="0093686E"/>
    <w:rsid w:val="00947391"/>
    <w:rsid w:val="009871A6"/>
    <w:rsid w:val="00994767"/>
    <w:rsid w:val="009A31B3"/>
    <w:rsid w:val="009D114E"/>
    <w:rsid w:val="00A040E2"/>
    <w:rsid w:val="00A95DDF"/>
    <w:rsid w:val="00AC3A07"/>
    <w:rsid w:val="00AF081B"/>
    <w:rsid w:val="00B74A2F"/>
    <w:rsid w:val="00B770CE"/>
    <w:rsid w:val="00B90372"/>
    <w:rsid w:val="00BB1927"/>
    <w:rsid w:val="00C105AF"/>
    <w:rsid w:val="00C37114"/>
    <w:rsid w:val="00C41FB0"/>
    <w:rsid w:val="00C43E61"/>
    <w:rsid w:val="00C50A2F"/>
    <w:rsid w:val="00CC3B7D"/>
    <w:rsid w:val="00CD72FF"/>
    <w:rsid w:val="00CF1802"/>
    <w:rsid w:val="00D0713F"/>
    <w:rsid w:val="00D423D8"/>
    <w:rsid w:val="00D5600B"/>
    <w:rsid w:val="00D70403"/>
    <w:rsid w:val="00DA0D5E"/>
    <w:rsid w:val="00DB5B24"/>
    <w:rsid w:val="00DB5C94"/>
    <w:rsid w:val="00DF6E93"/>
    <w:rsid w:val="00E63CED"/>
    <w:rsid w:val="00F134EA"/>
    <w:rsid w:val="00F44926"/>
    <w:rsid w:val="00F622FC"/>
    <w:rsid w:val="00FB428E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C9AA1"/>
  <w15:chartTrackingRefBased/>
  <w15:docId w15:val="{2D4AE83A-4067-41C3-9FDD-00B15A00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EA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DD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C3B7D"/>
    <w:pPr>
      <w:spacing w:after="0" w:line="240" w:lineRule="auto"/>
    </w:pPr>
    <w:rPr>
      <w:rFonts w:ascii="Arial" w:hAnsi="Arial"/>
      <w:caps/>
    </w:rPr>
  </w:style>
  <w:style w:type="paragraph" w:styleId="Header">
    <w:name w:val="header"/>
    <w:basedOn w:val="Normal"/>
    <w:link w:val="HeaderChar"/>
    <w:uiPriority w:val="99"/>
    <w:unhideWhenUsed/>
    <w:rsid w:val="00D56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00B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D56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00B"/>
    <w:rPr>
      <w:rFonts w:ascii="Verdana" w:hAnsi="Verdana"/>
      <w:sz w:val="20"/>
    </w:rPr>
  </w:style>
  <w:style w:type="table" w:styleId="TableGrid">
    <w:name w:val="Table Grid"/>
    <w:basedOn w:val="TableNormal"/>
    <w:uiPriority w:val="39"/>
    <w:rsid w:val="00D5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08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7A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49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monitor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marla\AppData\Local\Microsoft\Windows\INetCache\Content.Outlook\EEXEYEJ1\www.FundMonitor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marla\AppData\Local\Microsoft\Windows\INetCache\Content.Outlook\EEXEYEJ1\www.fundmonitor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ntact@fundmonitors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undmonitors.com/index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356188B77E044B747D987AED6DDBC" ma:contentTypeVersion="9" ma:contentTypeDescription="Create a new document." ma:contentTypeScope="" ma:versionID="edaa594550fb1b54be0b7eb4aa6da64c">
  <xsd:schema xmlns:xsd="http://www.w3.org/2001/XMLSchema" xmlns:xs="http://www.w3.org/2001/XMLSchema" xmlns:p="http://schemas.microsoft.com/office/2006/metadata/properties" xmlns:ns2="8a2513f1-f4b5-4294-9bd2-4ea57f1b9cf3" targetNamespace="http://schemas.microsoft.com/office/2006/metadata/properties" ma:root="true" ma:fieldsID="b6cd6dc152fbe3c56438bf2527f8886b" ns2:_="">
    <xsd:import namespace="8a2513f1-f4b5-4294-9bd2-4ea57f1b9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513f1-f4b5-4294-9bd2-4ea57f1b9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5AC74-2D7A-48FF-9F64-7F4811230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664A8-6B0F-471F-9AA6-59A7134C8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513f1-f4b5-4294-9bd2-4ea57f1b9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166FBD-1800-496B-9B91-C611B10BFF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D0DAF-3D0F-4035-B5D8-6A7E44981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Mark Riddle</cp:lastModifiedBy>
  <cp:revision>3</cp:revision>
  <dcterms:created xsi:type="dcterms:W3CDTF">2022-10-21T07:08:00Z</dcterms:created>
  <dcterms:modified xsi:type="dcterms:W3CDTF">2022-10-24T22:24:00Z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0x010100EA0356188B77E044B747D987AED6DDBC</vt:lpwstr>
  </property>
  <property fmtid="{D5CDD505-2E9C-101B-9397-08002B2CF9AE}" pid="3" name="Order">
    <vt:r8>145600</vt:r8>
  </property>
</Properties>
</file>